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567F501A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490B8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Волшебный мир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3F91B766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24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02E0057E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27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3F335D37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24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CBD0" w14:textId="77777777" w:rsidR="00DD793C" w:rsidRDefault="00DD793C">
      <w:r>
        <w:separator/>
      </w:r>
    </w:p>
  </w:endnote>
  <w:endnote w:type="continuationSeparator" w:id="0">
    <w:p w14:paraId="2045B97D" w14:textId="77777777" w:rsidR="00DD793C" w:rsidRDefault="00D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9FF" w14:textId="77777777" w:rsidR="00DD793C" w:rsidRDefault="00DD793C">
      <w:r>
        <w:separator/>
      </w:r>
    </w:p>
  </w:footnote>
  <w:footnote w:type="continuationSeparator" w:id="0">
    <w:p w14:paraId="56DDDC52" w14:textId="77777777" w:rsidR="00DD793C" w:rsidRDefault="00DD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r w:rsidR="00000000">
      <w:fldChar w:fldCharType="begin"/>
    </w:r>
    <w:r w:rsidR="00000000" w:rsidRPr="00E031C2">
      <w:rPr>
        <w:lang w:val="en-US"/>
      </w:rPr>
      <w:instrText>HYPERLINK "mailto:info@artlifecontest.com" \o "mailto:info@artlifecontest.com"</w:instrText>
    </w:r>
    <w:r w:rsidR="00000000">
      <w:fldChar w:fldCharType="separate"/>
    </w:r>
    <w:r>
      <w:rPr>
        <w:rStyle w:val="afa"/>
        <w:sz w:val="30"/>
        <w:szCs w:val="30"/>
        <w:lang w:val="en-US"/>
      </w:rPr>
      <w:t>info@artlifecontest.com</w:t>
    </w:r>
    <w:r w:rsidR="00000000">
      <w:rPr>
        <w:rStyle w:val="afa"/>
        <w:sz w:val="30"/>
        <w:szCs w:val="30"/>
        <w:lang w:val="en-US"/>
      </w:rPr>
      <w:fldChar w:fldCharType="end"/>
    </w:r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7681E"/>
    <w:rsid w:val="001E60A1"/>
    <w:rsid w:val="003D359C"/>
    <w:rsid w:val="003F3AC5"/>
    <w:rsid w:val="00482003"/>
    <w:rsid w:val="00490B8A"/>
    <w:rsid w:val="00574AFE"/>
    <w:rsid w:val="005A56AD"/>
    <w:rsid w:val="005F402B"/>
    <w:rsid w:val="005F4AEA"/>
    <w:rsid w:val="006C3712"/>
    <w:rsid w:val="007002EA"/>
    <w:rsid w:val="007A15F5"/>
    <w:rsid w:val="008E781D"/>
    <w:rsid w:val="00942FC4"/>
    <w:rsid w:val="00953589"/>
    <w:rsid w:val="00A47338"/>
    <w:rsid w:val="00AC31A1"/>
    <w:rsid w:val="00AC6906"/>
    <w:rsid w:val="00B12E29"/>
    <w:rsid w:val="00BA61B5"/>
    <w:rsid w:val="00C82B2B"/>
    <w:rsid w:val="00CB79E2"/>
    <w:rsid w:val="00CD4DBA"/>
    <w:rsid w:val="00D04DD6"/>
    <w:rsid w:val="00D5213C"/>
    <w:rsid w:val="00D82F25"/>
    <w:rsid w:val="00D9098D"/>
    <w:rsid w:val="00DA76A6"/>
    <w:rsid w:val="00DC0EBA"/>
    <w:rsid w:val="00DD793C"/>
    <w:rsid w:val="00E031C2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2022-05-05T14:39:00Z</cp:lastPrinted>
  <dcterms:created xsi:type="dcterms:W3CDTF">2022-07-12T07:52:00Z</dcterms:created>
  <dcterms:modified xsi:type="dcterms:W3CDTF">2022-07-12T07:52:00Z</dcterms:modified>
</cp:coreProperties>
</file>